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EB" w:rsidRDefault="000570EB">
      <w:pPr>
        <w:pStyle w:val="Standard"/>
        <w:spacing w:after="0"/>
      </w:pPr>
      <w:bookmarkStart w:id="0" w:name="_GoBack"/>
      <w:bookmarkEnd w:id="0"/>
    </w:p>
    <w:p w:rsidR="000570EB" w:rsidRDefault="00EE36BE">
      <w:pPr>
        <w:pStyle w:val="Standard"/>
        <w:spacing w:after="0"/>
        <w:jc w:val="center"/>
      </w:pPr>
      <w:r>
        <w:rPr>
          <w:rFonts w:ascii="Calibri" w:hAnsi="Calibri"/>
          <w:b/>
        </w:rPr>
        <w:t>Communiqué du 30 octobre 2013</w:t>
      </w:r>
    </w:p>
    <w:p w:rsidR="000570EB" w:rsidRDefault="000570EB">
      <w:pPr>
        <w:pStyle w:val="Standard"/>
        <w:spacing w:after="0"/>
        <w:jc w:val="center"/>
      </w:pPr>
    </w:p>
    <w:p w:rsidR="000570EB" w:rsidRDefault="00EE36BE">
      <w:pPr>
        <w:pStyle w:val="Standard"/>
        <w:widowControl w:val="0"/>
        <w:spacing w:after="0"/>
        <w:jc w:val="center"/>
      </w:pPr>
      <w:r>
        <w:rPr>
          <w:rFonts w:ascii="Calibri" w:hAnsi="Calibri"/>
          <w:b/>
          <w:sz w:val="28"/>
          <w:szCs w:val="28"/>
        </w:rPr>
        <w:t xml:space="preserve">La suspension de l’écotaxe poids lourds est une mesure </w:t>
      </w:r>
    </w:p>
    <w:p w:rsidR="000570EB" w:rsidRDefault="00EE36BE">
      <w:pPr>
        <w:pStyle w:val="Standard"/>
        <w:widowControl w:val="0"/>
        <w:spacing w:after="0"/>
        <w:jc w:val="center"/>
      </w:pPr>
      <w:r>
        <w:rPr>
          <w:rFonts w:ascii="Calibri" w:hAnsi="Calibri"/>
          <w:b/>
          <w:sz w:val="28"/>
          <w:szCs w:val="28"/>
        </w:rPr>
        <w:t>irrationnelle qui pénalisera le rail</w:t>
      </w:r>
    </w:p>
    <w:p w:rsidR="000570EB" w:rsidRDefault="000570EB">
      <w:pPr>
        <w:pStyle w:val="Standard"/>
        <w:widowControl w:val="0"/>
        <w:spacing w:after="0"/>
        <w:jc w:val="both"/>
      </w:pPr>
    </w:p>
    <w:p w:rsidR="000570EB" w:rsidRDefault="000570EB">
      <w:pPr>
        <w:pStyle w:val="Standard"/>
        <w:widowControl w:val="0"/>
        <w:spacing w:after="0"/>
        <w:jc w:val="both"/>
      </w:pPr>
    </w:p>
    <w:p w:rsidR="000570EB" w:rsidRDefault="00EE36BE">
      <w:pPr>
        <w:pStyle w:val="Standard"/>
        <w:widowControl w:val="0"/>
        <w:spacing w:after="0"/>
        <w:jc w:val="both"/>
      </w:pPr>
      <w:r>
        <w:rPr>
          <w:b/>
          <w:bCs/>
        </w:rPr>
        <w:t>La FNAUT peut admettre que des difficultés techniques aient amené le gouvernement à reporter à deux reprises la mise en œuvre de</w:t>
      </w:r>
      <w:r>
        <w:rPr>
          <w:b/>
          <w:bCs/>
        </w:rPr>
        <w:t xml:space="preserve"> l’écotaxe poids lourds. Mais la nouvelle suspension, en l’absence de tout effort pédagogique, est consternante.</w:t>
      </w:r>
    </w:p>
    <w:p w:rsidR="000570EB" w:rsidRDefault="000570EB">
      <w:pPr>
        <w:pStyle w:val="Standard"/>
        <w:widowControl w:val="0"/>
        <w:spacing w:after="0"/>
        <w:jc w:val="both"/>
      </w:pPr>
    </w:p>
    <w:p w:rsidR="000570EB" w:rsidRDefault="00EE36BE">
      <w:pPr>
        <w:pStyle w:val="Standard"/>
        <w:widowControl w:val="0"/>
        <w:spacing w:after="0"/>
        <w:jc w:val="both"/>
      </w:pPr>
      <w:r>
        <w:rPr>
          <w:rFonts w:cs="Arial"/>
          <w:b/>
        </w:rPr>
        <w:t>Une décision irrationnelle</w:t>
      </w:r>
    </w:p>
    <w:p w:rsidR="000570EB" w:rsidRDefault="00EE36BE">
      <w:pPr>
        <w:pStyle w:val="Standard"/>
        <w:shd w:val="clear" w:color="auto" w:fill="FFFFFF"/>
        <w:spacing w:before="225" w:after="225" w:line="270" w:lineRule="atLeast"/>
        <w:jc w:val="both"/>
      </w:pPr>
      <w:r>
        <w:rPr>
          <w:rFonts w:ascii="Times New Roman" w:hAnsi="Times New Roman" w:cs="Times New Roman"/>
          <w:color w:val="333333"/>
          <w:lang w:eastAsia="fr-FR"/>
        </w:rPr>
        <w:t>- L’écotaxe devait entraîner une hausse du prix du transport routier inférieure à 10 %, donc une hausse minime, inf</w:t>
      </w:r>
      <w:r>
        <w:rPr>
          <w:rFonts w:ascii="Times New Roman" w:hAnsi="Times New Roman" w:cs="Times New Roman"/>
          <w:color w:val="333333"/>
          <w:lang w:eastAsia="fr-FR"/>
        </w:rPr>
        <w:t>érieure à 1 %, du prix des biens de consommation.</w:t>
      </w:r>
    </w:p>
    <w:p w:rsidR="000570EB" w:rsidRDefault="00EE36BE">
      <w:pPr>
        <w:pStyle w:val="Standard"/>
        <w:shd w:val="clear" w:color="auto" w:fill="FFFFFF"/>
        <w:spacing w:before="225" w:after="225" w:line="270" w:lineRule="atLeast"/>
        <w:jc w:val="both"/>
      </w:pPr>
      <w:r>
        <w:rPr>
          <w:rFonts w:ascii="Times New Roman" w:hAnsi="Times New Roman" w:cs="Times New Roman"/>
          <w:color w:val="333333"/>
          <w:lang w:eastAsia="fr-FR"/>
        </w:rPr>
        <w:t>- La Suisse (en 2001), l’Allemagne (en 2005), puis l’Autriche, la République tchèque et la Slovaquie ont déjà institué une écotaxe routière : la croissance du fret routier a été enrayée, et les transporteur</w:t>
      </w:r>
      <w:r>
        <w:rPr>
          <w:rFonts w:ascii="Times New Roman" w:hAnsi="Times New Roman" w:cs="Times New Roman"/>
          <w:color w:val="333333"/>
          <w:lang w:eastAsia="fr-FR"/>
        </w:rPr>
        <w:t>s ont optimisé le remplissage des ensembles routiers, améliorant ainsi leur productivité.</w:t>
      </w:r>
    </w:p>
    <w:p w:rsidR="000570EB" w:rsidRDefault="00EE36BE">
      <w:pPr>
        <w:pStyle w:val="Standard"/>
        <w:shd w:val="clear" w:color="auto" w:fill="FFFFFF"/>
        <w:spacing w:before="225" w:after="225" w:line="270" w:lineRule="atLeast"/>
        <w:jc w:val="both"/>
      </w:pPr>
      <w:r>
        <w:rPr>
          <w:rFonts w:ascii="Times New Roman" w:hAnsi="Times New Roman" w:cs="Times New Roman"/>
          <w:color w:val="333333"/>
          <w:lang w:eastAsia="fr-FR"/>
        </w:rPr>
        <w:t>- La Bretagne devait déjà bénéficier d’une réduction de 50 % de l’écotaxe ; les transports de lait et le principal axe routier est-ouest (RN 164) devaient en être exo</w:t>
      </w:r>
      <w:r>
        <w:rPr>
          <w:rFonts w:ascii="Times New Roman" w:hAnsi="Times New Roman" w:cs="Times New Roman"/>
          <w:color w:val="333333"/>
          <w:lang w:eastAsia="fr-FR"/>
        </w:rPr>
        <w:t xml:space="preserve">nérés. Les voies ferrées bretonnes auraient pu bénéficier de son produit. </w:t>
      </w:r>
    </w:p>
    <w:p w:rsidR="000570EB" w:rsidRDefault="00EE36BE">
      <w:pPr>
        <w:pStyle w:val="Standard"/>
        <w:shd w:val="clear" w:color="auto" w:fill="FFFFFF"/>
        <w:spacing w:before="225" w:after="225" w:line="270" w:lineRule="atLeast"/>
        <w:jc w:val="both"/>
      </w:pPr>
      <w:r>
        <w:rPr>
          <w:rFonts w:ascii="Times New Roman" w:hAnsi="Times New Roman" w:cs="Times New Roman"/>
          <w:color w:val="333333"/>
          <w:lang w:eastAsia="fr-FR"/>
        </w:rPr>
        <w:t xml:space="preserve">- L’écotaxe était justifiée : le transport routier est loin de payer ses coûts économiques (congestion, usure des routes) et écologiques (accidents, nuisances locales, émissions de </w:t>
      </w:r>
      <w:r>
        <w:rPr>
          <w:rFonts w:ascii="Times New Roman" w:hAnsi="Times New Roman" w:cs="Times New Roman"/>
          <w:color w:val="333333"/>
          <w:lang w:eastAsia="fr-FR"/>
        </w:rPr>
        <w:t>gaz à effet de serre). Elle permettait d’amorcer la transition énergétique.</w:t>
      </w:r>
    </w:p>
    <w:p w:rsidR="000570EB" w:rsidRDefault="00EE36BE">
      <w:pPr>
        <w:pStyle w:val="Standard"/>
        <w:widowControl w:val="0"/>
        <w:spacing w:after="0"/>
        <w:jc w:val="both"/>
      </w:pPr>
      <w:r>
        <w:rPr>
          <w:rFonts w:cs="Arial"/>
          <w:b/>
        </w:rPr>
        <w:t>Le rail doublement pénalisé</w:t>
      </w:r>
    </w:p>
    <w:p w:rsidR="000570EB" w:rsidRDefault="000570EB">
      <w:pPr>
        <w:pStyle w:val="Standard"/>
        <w:widowControl w:val="0"/>
        <w:spacing w:after="0"/>
        <w:jc w:val="both"/>
      </w:pPr>
    </w:p>
    <w:p w:rsidR="000570EB" w:rsidRDefault="00EE36BE">
      <w:pPr>
        <w:pStyle w:val="Standard"/>
        <w:widowControl w:val="0"/>
        <w:spacing w:after="0"/>
        <w:jc w:val="both"/>
      </w:pPr>
      <w:r>
        <w:rPr>
          <w:rFonts w:cs="Arial"/>
        </w:rPr>
        <w:t xml:space="preserve">- Le report de l’écotaxe sur l’ensemble du territoire privera le transport ferroviaire du fret d’un avantage compétitif indispensable pour inciter les </w:t>
      </w:r>
      <w:r>
        <w:rPr>
          <w:rFonts w:cs="Arial"/>
        </w:rPr>
        <w:t xml:space="preserve">chargeurs à utiliser le rail, après la légalisation des ensembles routiers de 44 tonnes et la suppression de la taxe à l’essieu </w:t>
      </w:r>
      <w:r>
        <w:rPr>
          <w:rFonts w:ascii="Times New Roman" w:hAnsi="Times New Roman" w:cs="Times New Roman"/>
        </w:rPr>
        <w:t>(deux faveurs accordées par avance au lobby routier en compensation de... l'écotaxe)</w:t>
      </w:r>
      <w:r>
        <w:rPr>
          <w:rFonts w:cs="Arial"/>
        </w:rPr>
        <w:t>.</w:t>
      </w:r>
    </w:p>
    <w:p w:rsidR="000570EB" w:rsidRDefault="000570EB">
      <w:pPr>
        <w:pStyle w:val="Standard"/>
        <w:widowControl w:val="0"/>
        <w:spacing w:after="0"/>
        <w:jc w:val="both"/>
      </w:pPr>
    </w:p>
    <w:p w:rsidR="000570EB" w:rsidRDefault="00EE36BE">
      <w:pPr>
        <w:pStyle w:val="Standard"/>
        <w:widowControl w:val="0"/>
        <w:spacing w:after="0"/>
        <w:jc w:val="both"/>
      </w:pPr>
      <w:r>
        <w:rPr>
          <w:rFonts w:cs="Arial"/>
        </w:rPr>
        <w:t>- D’autre part ce report privera l’Agence</w:t>
      </w:r>
      <w:r>
        <w:rPr>
          <w:rFonts w:cs="Arial"/>
        </w:rPr>
        <w:t xml:space="preserve"> de financement des infrastructures de transport de France (AFITF) de moyens financiers (750 millions d’euros par an) indispensables à la régénération et à la modernisation du réseau ferré, négligées depuis 30 ans. </w:t>
      </w:r>
    </w:p>
    <w:p w:rsidR="000570EB" w:rsidRDefault="000570EB">
      <w:pPr>
        <w:pStyle w:val="Standard"/>
        <w:widowControl w:val="0"/>
        <w:spacing w:after="0"/>
        <w:jc w:val="both"/>
      </w:pPr>
    </w:p>
    <w:p w:rsidR="000570EB" w:rsidRDefault="00EE36BE">
      <w:pPr>
        <w:pStyle w:val="Standard"/>
        <w:widowControl w:val="0"/>
        <w:spacing w:after="0"/>
        <w:jc w:val="both"/>
      </w:pPr>
      <w:r>
        <w:rPr>
          <w:rFonts w:cs="Arial"/>
        </w:rPr>
        <w:t>La FNAUT rappelle que bien des liaisons</w:t>
      </w:r>
      <w:r>
        <w:rPr>
          <w:rFonts w:cs="Arial"/>
        </w:rPr>
        <w:t xml:space="preserve"> régionales et interrégionales risquent de disparaître à très court terme faute des investissements modestes nécessaires pour maintenir la sécurité des circulations, par exemple Verdun – Châlons-en-Champagne et Clermont-Ferrand – Brive.</w:t>
      </w:r>
    </w:p>
    <w:p w:rsidR="000570EB" w:rsidRDefault="000570EB">
      <w:pPr>
        <w:pStyle w:val="Standard"/>
        <w:widowControl w:val="0"/>
        <w:spacing w:after="0"/>
        <w:jc w:val="both"/>
      </w:pPr>
    </w:p>
    <w:p w:rsidR="000570EB" w:rsidRDefault="00EE36BE">
      <w:pPr>
        <w:pStyle w:val="Standard"/>
        <w:widowControl w:val="0"/>
        <w:spacing w:after="0"/>
        <w:jc w:val="both"/>
      </w:pPr>
      <w:r>
        <w:rPr>
          <w:rFonts w:cs="Arial"/>
        </w:rPr>
        <w:t xml:space="preserve">Elle rappelle par </w:t>
      </w:r>
      <w:r>
        <w:rPr>
          <w:rFonts w:cs="Arial"/>
        </w:rPr>
        <w:t>ailleurs que, si le transport routier de fret est épargné, le gouvernement n’a pas hésité à augmenter de 7 % à 10 % le taux de la TVA appliquée aux transports collectifs.</w:t>
      </w:r>
    </w:p>
    <w:p w:rsidR="000570EB" w:rsidRDefault="000570EB">
      <w:pPr>
        <w:pStyle w:val="Standard"/>
        <w:widowControl w:val="0"/>
        <w:spacing w:after="0"/>
        <w:jc w:val="both"/>
      </w:pPr>
    </w:p>
    <w:p w:rsidR="000570EB" w:rsidRDefault="000570EB">
      <w:pPr>
        <w:pStyle w:val="Standard"/>
        <w:widowControl w:val="0"/>
        <w:spacing w:after="0"/>
        <w:jc w:val="both"/>
      </w:pPr>
    </w:p>
    <w:p w:rsidR="000570EB" w:rsidRDefault="00EE36BE">
      <w:pPr>
        <w:pStyle w:val="Standard"/>
        <w:spacing w:after="0"/>
        <w:jc w:val="both"/>
      </w:pPr>
      <w:r>
        <w:rPr>
          <w:rFonts w:cs="Arial"/>
          <w:i/>
          <w:color w:val="000000"/>
        </w:rPr>
        <w:t>Contact presse :</w:t>
      </w:r>
      <w:r>
        <w:rPr>
          <w:rFonts w:cs="Arial"/>
          <w:color w:val="000000"/>
        </w:rPr>
        <w:t xml:space="preserve"> Jean Sivardière, président de la FNAUT, tél. 04 76 75 23 31</w:t>
      </w:r>
    </w:p>
    <w:p w:rsidR="000570EB" w:rsidRDefault="00EE36BE">
      <w:pPr>
        <w:pStyle w:val="Standard"/>
        <w:spacing w:after="0"/>
        <w:jc w:val="both"/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  Jean Lenoir, vice-président, tél. 01 48 73 84 81</w:t>
      </w:r>
    </w:p>
    <w:p w:rsidR="000570EB" w:rsidRDefault="000570EB">
      <w:pPr>
        <w:pStyle w:val="Standard"/>
        <w:spacing w:after="0"/>
      </w:pPr>
    </w:p>
    <w:sectPr w:rsidR="000570EB">
      <w:headerReference w:type="default" r:id="rId8"/>
      <w:footerReference w:type="default" r:id="rId9"/>
      <w:pgSz w:w="11906" w:h="16838"/>
      <w:pgMar w:top="1701" w:right="1134" w:bottom="1418" w:left="1134" w:header="1418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BE" w:rsidRDefault="00EE36BE">
      <w:pPr>
        <w:spacing w:after="0" w:line="240" w:lineRule="auto"/>
      </w:pPr>
      <w:r>
        <w:separator/>
      </w:r>
    </w:p>
  </w:endnote>
  <w:endnote w:type="continuationSeparator" w:id="0">
    <w:p w:rsidR="00EE36BE" w:rsidRDefault="00EE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EB" w:rsidRDefault="00EE36BE">
    <w:pPr>
      <w:pStyle w:val="Pieddepage"/>
    </w:pPr>
    <w:r>
      <w:rPr>
        <w:noProof/>
        <w:lang w:eastAsia="fr-FR"/>
      </w:rPr>
      <w:drawing>
        <wp:anchor distT="0" distB="0" distL="0" distR="0" simplePos="0" relativeHeight="251659264" behindDoc="1" locked="0" layoutInCell="1" allowOverlap="1">
          <wp:simplePos x="0" y="0"/>
          <wp:positionH relativeFrom="character">
            <wp:posOffset>-554355</wp:posOffset>
          </wp:positionH>
          <wp:positionV relativeFrom="line">
            <wp:posOffset>149225</wp:posOffset>
          </wp:positionV>
          <wp:extent cx="7200900" cy="622935"/>
          <wp:effectExtent l="0" t="0" r="0" b="0"/>
          <wp:wrapNone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BE" w:rsidRDefault="00EE36BE">
      <w:pPr>
        <w:spacing w:after="0" w:line="240" w:lineRule="auto"/>
      </w:pPr>
      <w:r>
        <w:separator/>
      </w:r>
    </w:p>
  </w:footnote>
  <w:footnote w:type="continuationSeparator" w:id="0">
    <w:p w:rsidR="00EE36BE" w:rsidRDefault="00EE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EB" w:rsidRDefault="00EE36BE">
    <w:pPr>
      <w:pStyle w:val="En-tte"/>
    </w:pPr>
    <w:r>
      <w:rPr>
        <w:noProof/>
        <w:lang w:eastAsia="fr-FR"/>
      </w:rPr>
      <w:drawing>
        <wp:anchor distT="0" distB="0" distL="0" distR="0" simplePos="0" relativeHeight="251658240" behindDoc="1" locked="0" layoutInCell="1" allowOverlap="1">
          <wp:simplePos x="0" y="0"/>
          <wp:positionH relativeFrom="character">
            <wp:posOffset>-554355</wp:posOffset>
          </wp:positionH>
          <wp:positionV relativeFrom="line">
            <wp:posOffset>-783590</wp:posOffset>
          </wp:positionV>
          <wp:extent cx="7244080" cy="985520"/>
          <wp:effectExtent l="0" t="0" r="0" b="0"/>
          <wp:wrapNone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408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5DF3"/>
    <w:multiLevelType w:val="multilevel"/>
    <w:tmpl w:val="E2FA0E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EB"/>
    <w:rsid w:val="000570EB"/>
    <w:rsid w:val="00673B1C"/>
    <w:rsid w:val="00E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Standard"/>
    <w:next w:val="Corpsdetexte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" w:eastAsia="WenQuanYi Micro Hei" w:hAnsi="Times"/>
      <w:sz w:val="24"/>
      <w:szCs w:val="24"/>
      <w:lang w:eastAsia="ja-JP"/>
    </w:rPr>
  </w:style>
  <w:style w:type="character" w:customStyle="1" w:styleId="En-tteCar">
    <w:name w:val="En-tête Car"/>
    <w:basedOn w:val="Policepardfaut"/>
    <w:rPr>
      <w:rFonts w:ascii="Times" w:hAnsi="Times"/>
      <w:sz w:val="24"/>
      <w:szCs w:val="24"/>
    </w:rPr>
  </w:style>
  <w:style w:type="character" w:customStyle="1" w:styleId="PieddepageCar">
    <w:name w:val="Pied de page Car"/>
    <w:basedOn w:val="Policepardfaut"/>
    <w:rPr>
      <w:rFonts w:ascii="Times" w:hAnsi="Times"/>
      <w:sz w:val="24"/>
      <w:szCs w:val="24"/>
    </w:rPr>
  </w:style>
  <w:style w:type="character" w:customStyle="1" w:styleId="TextedebullesCar">
    <w:name w:val="Texte de bulles Car"/>
    <w:basedOn w:val="Policepardfaut"/>
    <w:rPr>
      <w:rFonts w:ascii="Lucida Grande" w:hAnsi="Lucida Grande" w:cs="Lucida Grande"/>
      <w:sz w:val="18"/>
      <w:szCs w:val="18"/>
    </w:rPr>
  </w:style>
  <w:style w:type="character" w:customStyle="1" w:styleId="NotedebasdepageCar">
    <w:name w:val="Note de bas de page Car"/>
    <w:basedOn w:val="Policepardfaut"/>
    <w:rPr>
      <w:rFonts w:ascii="Calibri" w:eastAsia="Calibri" w:hAnsi="Calibri" w:cs="Times New Roman"/>
      <w:sz w:val="24"/>
      <w:szCs w:val="24"/>
      <w:lang w:eastAsia="en-US"/>
    </w:rPr>
  </w:style>
  <w:style w:type="character" w:styleId="Appelnotedebasdep">
    <w:name w:val="footnote reference"/>
    <w:basedOn w:val="Policepardfaut"/>
    <w:rPr>
      <w:vertAlign w:val="superscript"/>
    </w:rPr>
  </w:style>
  <w:style w:type="character" w:customStyle="1" w:styleId="Titre3Car">
    <w:name w:val="Titre 3 Car"/>
    <w:basedOn w:val="Policepardfaut"/>
    <w:rPr>
      <w:rFonts w:ascii="Times" w:hAnsi="Times"/>
      <w:b/>
      <w:bCs/>
      <w:sz w:val="27"/>
      <w:szCs w:val="27"/>
      <w:lang w:eastAsia="fr-FR"/>
    </w:rPr>
  </w:style>
  <w:style w:type="character" w:customStyle="1" w:styleId="Accentuationforte">
    <w:name w:val="Accentuation forte"/>
    <w:basedOn w:val="Policepardfaut"/>
    <w:rPr>
      <w:b/>
      <w:bCs/>
    </w:rPr>
  </w:style>
  <w:style w:type="character" w:customStyle="1" w:styleId="LienInternet">
    <w:name w:val="Lien Internet"/>
    <w:basedOn w:val="Policepardfaut"/>
    <w:rPr>
      <w:color w:val="0000FF"/>
      <w:u w:val="single"/>
      <w:lang w:val="fr-FR" w:eastAsia="fr-FR" w:bidi="fr-FR"/>
    </w:rPr>
  </w:style>
  <w:style w:type="character" w:customStyle="1" w:styleId="apple-converted-space">
    <w:name w:val="apple-converted-space"/>
    <w:basedOn w:val="Policepardfaut"/>
  </w:style>
  <w:style w:type="character" w:customStyle="1" w:styleId="ExplorateurdedocumentCar">
    <w:name w:val="Explorateur de document Car"/>
    <w:basedOn w:val="Policepardfaut"/>
    <w:rPr>
      <w:rFonts w:ascii="Lucida Grande" w:hAnsi="Lucida Grande" w:cs="Lucida Grande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Textedebulles">
    <w:name w:val="Balloon Text"/>
    <w:basedOn w:val="Standard"/>
    <w:pPr>
      <w:spacing w:after="0"/>
    </w:pPr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Standard"/>
    <w:rPr>
      <w:rFonts w:ascii="Calibri" w:eastAsia="Calibri" w:hAnsi="Calibri" w:cs="Times New Roman"/>
      <w:lang w:eastAsia="en-US"/>
    </w:rPr>
  </w:style>
  <w:style w:type="paragraph" w:styleId="Paragraphedeliste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" w:after="28"/>
    </w:pPr>
    <w:rPr>
      <w:rFonts w:eastAsia="Calibri" w:cs="Times New Roman"/>
      <w:sz w:val="20"/>
      <w:szCs w:val="20"/>
      <w:lang w:eastAsia="fr-FR"/>
    </w:rPr>
  </w:style>
  <w:style w:type="paragraph" w:styleId="Explorateurdedocuments">
    <w:name w:val="Document Map"/>
    <w:basedOn w:val="Standard"/>
    <w:pPr>
      <w:spacing w:after="0"/>
    </w:pPr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Standard"/>
    <w:next w:val="Corpsdetexte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" w:eastAsia="WenQuanYi Micro Hei" w:hAnsi="Times"/>
      <w:sz w:val="24"/>
      <w:szCs w:val="24"/>
      <w:lang w:eastAsia="ja-JP"/>
    </w:rPr>
  </w:style>
  <w:style w:type="character" w:customStyle="1" w:styleId="En-tteCar">
    <w:name w:val="En-tête Car"/>
    <w:basedOn w:val="Policepardfaut"/>
    <w:rPr>
      <w:rFonts w:ascii="Times" w:hAnsi="Times"/>
      <w:sz w:val="24"/>
      <w:szCs w:val="24"/>
    </w:rPr>
  </w:style>
  <w:style w:type="character" w:customStyle="1" w:styleId="PieddepageCar">
    <w:name w:val="Pied de page Car"/>
    <w:basedOn w:val="Policepardfaut"/>
    <w:rPr>
      <w:rFonts w:ascii="Times" w:hAnsi="Times"/>
      <w:sz w:val="24"/>
      <w:szCs w:val="24"/>
    </w:rPr>
  </w:style>
  <w:style w:type="character" w:customStyle="1" w:styleId="TextedebullesCar">
    <w:name w:val="Texte de bulles Car"/>
    <w:basedOn w:val="Policepardfaut"/>
    <w:rPr>
      <w:rFonts w:ascii="Lucida Grande" w:hAnsi="Lucida Grande" w:cs="Lucida Grande"/>
      <w:sz w:val="18"/>
      <w:szCs w:val="18"/>
    </w:rPr>
  </w:style>
  <w:style w:type="character" w:customStyle="1" w:styleId="NotedebasdepageCar">
    <w:name w:val="Note de bas de page Car"/>
    <w:basedOn w:val="Policepardfaut"/>
    <w:rPr>
      <w:rFonts w:ascii="Calibri" w:eastAsia="Calibri" w:hAnsi="Calibri" w:cs="Times New Roman"/>
      <w:sz w:val="24"/>
      <w:szCs w:val="24"/>
      <w:lang w:eastAsia="en-US"/>
    </w:rPr>
  </w:style>
  <w:style w:type="character" w:styleId="Appelnotedebasdep">
    <w:name w:val="footnote reference"/>
    <w:basedOn w:val="Policepardfaut"/>
    <w:rPr>
      <w:vertAlign w:val="superscript"/>
    </w:rPr>
  </w:style>
  <w:style w:type="character" w:customStyle="1" w:styleId="Titre3Car">
    <w:name w:val="Titre 3 Car"/>
    <w:basedOn w:val="Policepardfaut"/>
    <w:rPr>
      <w:rFonts w:ascii="Times" w:hAnsi="Times"/>
      <w:b/>
      <w:bCs/>
      <w:sz w:val="27"/>
      <w:szCs w:val="27"/>
      <w:lang w:eastAsia="fr-FR"/>
    </w:rPr>
  </w:style>
  <w:style w:type="character" w:customStyle="1" w:styleId="Accentuationforte">
    <w:name w:val="Accentuation forte"/>
    <w:basedOn w:val="Policepardfaut"/>
    <w:rPr>
      <w:b/>
      <w:bCs/>
    </w:rPr>
  </w:style>
  <w:style w:type="character" w:customStyle="1" w:styleId="LienInternet">
    <w:name w:val="Lien Internet"/>
    <w:basedOn w:val="Policepardfaut"/>
    <w:rPr>
      <w:color w:val="0000FF"/>
      <w:u w:val="single"/>
      <w:lang w:val="fr-FR" w:eastAsia="fr-FR" w:bidi="fr-FR"/>
    </w:rPr>
  </w:style>
  <w:style w:type="character" w:customStyle="1" w:styleId="apple-converted-space">
    <w:name w:val="apple-converted-space"/>
    <w:basedOn w:val="Policepardfaut"/>
  </w:style>
  <w:style w:type="character" w:customStyle="1" w:styleId="ExplorateurdedocumentCar">
    <w:name w:val="Explorateur de document Car"/>
    <w:basedOn w:val="Policepardfaut"/>
    <w:rPr>
      <w:rFonts w:ascii="Lucida Grande" w:hAnsi="Lucida Grande" w:cs="Lucida Grande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Textedebulles">
    <w:name w:val="Balloon Text"/>
    <w:basedOn w:val="Standard"/>
    <w:pPr>
      <w:spacing w:after="0"/>
    </w:pPr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Standard"/>
    <w:rPr>
      <w:rFonts w:ascii="Calibri" w:eastAsia="Calibri" w:hAnsi="Calibri" w:cs="Times New Roman"/>
      <w:lang w:eastAsia="en-US"/>
    </w:rPr>
  </w:style>
  <w:style w:type="paragraph" w:styleId="Paragraphedeliste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" w:after="28"/>
    </w:pPr>
    <w:rPr>
      <w:rFonts w:eastAsia="Calibri" w:cs="Times New Roman"/>
      <w:sz w:val="20"/>
      <w:szCs w:val="20"/>
      <w:lang w:eastAsia="fr-FR"/>
    </w:rPr>
  </w:style>
  <w:style w:type="paragraph" w:styleId="Explorateurdedocuments">
    <w:name w:val="Document Map"/>
    <w:basedOn w:val="Standard"/>
    <w:pPr>
      <w:spacing w:after="0"/>
    </w:pPr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2207</Characters>
  <Application>Microsoft Office Word</Application>
  <DocSecurity>0</DocSecurity>
  <Lines>18</Lines>
  <Paragraphs>5</Paragraphs>
  <ScaleCrop>false</ScaleCrop>
  <Company>cra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 .</dc:creator>
  <cp:lastModifiedBy>cra</cp:lastModifiedBy>
  <cp:revision>2</cp:revision>
  <dcterms:created xsi:type="dcterms:W3CDTF">2013-10-31T08:12:00Z</dcterms:created>
  <dcterms:modified xsi:type="dcterms:W3CDTF">2013-10-31T08:12:00Z</dcterms:modified>
</cp:coreProperties>
</file>