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B1C" w:rsidRDefault="00BA6B1C" w:rsidP="00BA6B1C">
      <w:pPr>
        <w:rPr>
          <w:rFonts w:ascii="Bookman Old Style" w:hAnsi="Bookman Old Style"/>
          <w:b/>
        </w:rPr>
      </w:pPr>
      <w:r>
        <w:rPr>
          <w:rFonts w:ascii="Bookman Old Style" w:hAnsi="Bookman Old Style"/>
          <w:b/>
          <w:noProof/>
        </w:rPr>
        <w:drawing>
          <wp:inline distT="0" distB="0" distL="0" distR="0" wp14:anchorId="356524F3" wp14:editId="04475A98">
            <wp:extent cx="1137285" cy="643890"/>
            <wp:effectExtent l="0" t="0" r="5715" b="3810"/>
            <wp:docPr id="1" name="Image 1" descr="..\..\..\Mes documents\Images-Photos-Plans-Dessins\Logos\Logo Région ju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 documents\Images-Photos-Plans-Dessins\Logos\Logo Région jus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7285" cy="643890"/>
                    </a:xfrm>
                    <a:prstGeom prst="rect">
                      <a:avLst/>
                    </a:prstGeom>
                    <a:noFill/>
                    <a:ln>
                      <a:noFill/>
                    </a:ln>
                  </pic:spPr>
                </pic:pic>
              </a:graphicData>
            </a:graphic>
          </wp:inline>
        </w:drawing>
      </w:r>
    </w:p>
    <w:p w:rsidR="00BA6B1C" w:rsidRDefault="00BA6B1C" w:rsidP="004823AA">
      <w:pPr>
        <w:ind w:left="264" w:firstLine="5400"/>
        <w:rPr>
          <w:rFonts w:ascii="Albertus Medium" w:hAnsi="Albertus Medium"/>
        </w:rPr>
      </w:pPr>
      <w:bookmarkStart w:id="0" w:name="_GoBack"/>
      <w:bookmarkEnd w:id="0"/>
      <w:r>
        <w:rPr>
          <w:rFonts w:ascii="Albertus Medium" w:hAnsi="Albertus Medium"/>
        </w:rPr>
        <w:t>SESSION du 13 mars 2012</w:t>
      </w:r>
    </w:p>
    <w:p w:rsidR="00BA6B1C" w:rsidRDefault="00BA6B1C" w:rsidP="00BA6B1C">
      <w:pPr>
        <w:rPr>
          <w:rFonts w:ascii="Albertus Medium" w:hAnsi="Albertus Medium"/>
        </w:rPr>
      </w:pPr>
    </w:p>
    <w:p w:rsidR="00BA6B1C" w:rsidRDefault="00BA6B1C" w:rsidP="00BA6B1C">
      <w:pPr>
        <w:ind w:firstLine="3261"/>
        <w:rPr>
          <w:rFonts w:ascii="Albertus Medium" w:hAnsi="Albertus Medium"/>
        </w:rPr>
      </w:pPr>
      <w:r>
        <w:rPr>
          <w:rFonts w:ascii="Albertus Medium" w:hAnsi="Albertus Medium"/>
        </w:rPr>
        <w:t>Amendement N° 2</w:t>
      </w:r>
    </w:p>
    <w:p w:rsidR="00BA6B1C" w:rsidRDefault="00BA6B1C" w:rsidP="00BA6B1C">
      <w:pPr>
        <w:rPr>
          <w:rFonts w:ascii="Albertus Medium" w:hAnsi="Albertus Medium"/>
        </w:rPr>
      </w:pPr>
    </w:p>
    <w:p w:rsidR="00EF7122" w:rsidRDefault="00EF7122" w:rsidP="00BA6B1C">
      <w:pPr>
        <w:rPr>
          <w:rFonts w:ascii="Albertus Medium" w:hAnsi="Albertus Medium"/>
        </w:rPr>
      </w:pPr>
    </w:p>
    <w:tbl>
      <w:tblPr>
        <w:tblW w:w="9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51"/>
      </w:tblGrid>
      <w:tr w:rsidR="00BA6B1C" w:rsidTr="000A3C82">
        <w:tc>
          <w:tcPr>
            <w:tcW w:w="9851" w:type="dxa"/>
          </w:tcPr>
          <w:p w:rsidR="00BA6B1C" w:rsidRDefault="00BA6B1C" w:rsidP="00466DD6">
            <w:pPr>
              <w:tabs>
                <w:tab w:val="left" w:pos="3969"/>
              </w:tabs>
              <w:rPr>
                <w:rFonts w:ascii="Albertus Medium" w:hAnsi="Albertus Medium"/>
              </w:rPr>
            </w:pPr>
            <w:r>
              <w:rPr>
                <w:rFonts w:ascii="Albertus Medium" w:hAnsi="Albertus Medium"/>
              </w:rPr>
              <w:t>POINT DE L’ORDRE DU JOUR :</w:t>
            </w:r>
          </w:p>
          <w:p w:rsidR="00BA6B1C" w:rsidRPr="00EF7122" w:rsidRDefault="0092252F" w:rsidP="00EF7122">
            <w:pPr>
              <w:tabs>
                <w:tab w:val="left" w:pos="3969"/>
              </w:tabs>
              <w:ind w:left="1560"/>
              <w:rPr>
                <w:rFonts w:ascii="Albertus Medium" w:hAnsi="Albertus Medium"/>
                <w:b/>
                <w:bCs/>
                <w:sz w:val="20"/>
                <w:szCs w:val="20"/>
              </w:rPr>
            </w:pPr>
            <w:r w:rsidRPr="0092252F">
              <w:rPr>
                <w:rFonts w:ascii="Albertus Medium" w:hAnsi="Albertus Medium"/>
                <w:b/>
                <w:bCs/>
                <w:sz w:val="22"/>
                <w:szCs w:val="20"/>
              </w:rPr>
              <w:t>Rapport n° 8</w:t>
            </w:r>
            <w:r w:rsidR="00BA6B1C" w:rsidRPr="0092252F">
              <w:rPr>
                <w:rFonts w:ascii="Albertus Medium" w:hAnsi="Albertus Medium"/>
                <w:b/>
                <w:bCs/>
                <w:sz w:val="22"/>
                <w:szCs w:val="20"/>
              </w:rPr>
              <w:t xml:space="preserve"> </w:t>
            </w:r>
            <w:r>
              <w:rPr>
                <w:rFonts w:ascii="Albertus Medium" w:hAnsi="Albertus Medium"/>
                <w:b/>
                <w:bCs/>
                <w:sz w:val="20"/>
                <w:szCs w:val="20"/>
              </w:rPr>
              <w:t xml:space="preserve">(page 116) : </w:t>
            </w:r>
            <w:r w:rsidR="00BA6B1C" w:rsidRPr="00EF7122">
              <w:rPr>
                <w:rFonts w:ascii="Albertus Medium" w:hAnsi="Albertus Medium"/>
                <w:b/>
                <w:bCs/>
                <w:sz w:val="20"/>
                <w:szCs w:val="20"/>
              </w:rPr>
              <w:t>Avis de la Région sur les avant-projets de schémas de l’Agence régionale de santé d’Auvergne</w:t>
            </w:r>
          </w:p>
          <w:p w:rsidR="00BA6B1C" w:rsidRPr="00EF7122" w:rsidRDefault="00BA6B1C" w:rsidP="00466DD6">
            <w:pPr>
              <w:tabs>
                <w:tab w:val="left" w:pos="3969"/>
              </w:tabs>
              <w:rPr>
                <w:rFonts w:ascii="Albertus Medium" w:hAnsi="Albertus Medium"/>
                <w:b/>
                <w:bCs/>
                <w:sz w:val="20"/>
                <w:szCs w:val="20"/>
              </w:rPr>
            </w:pPr>
          </w:p>
          <w:p w:rsidR="00EF7122" w:rsidRDefault="00BA6B1C" w:rsidP="00466DD6">
            <w:pPr>
              <w:pStyle w:val="Standard"/>
              <w:widowControl/>
              <w:suppressAutoHyphens w:val="0"/>
              <w:overflowPunct w:val="0"/>
              <w:autoSpaceDE w:val="0"/>
              <w:adjustRightInd w:val="0"/>
              <w:rPr>
                <w:rFonts w:ascii="Albertus Medium" w:eastAsia="Times New Roman" w:hAnsi="Albertus Medium"/>
                <w:kern w:val="0"/>
                <w:szCs w:val="20"/>
              </w:rPr>
            </w:pPr>
            <w:r>
              <w:rPr>
                <w:rFonts w:ascii="Albertus Medium" w:eastAsia="Times New Roman" w:hAnsi="Albertus Medium"/>
                <w:kern w:val="0"/>
                <w:szCs w:val="20"/>
              </w:rPr>
              <w:t xml:space="preserve">PRESENTE PAR : </w:t>
            </w:r>
          </w:p>
          <w:p w:rsidR="00BA6B1C" w:rsidRPr="00EF7122" w:rsidRDefault="00BA6B1C" w:rsidP="00EF7122">
            <w:pPr>
              <w:pStyle w:val="Standard"/>
              <w:widowControl/>
              <w:suppressAutoHyphens w:val="0"/>
              <w:overflowPunct w:val="0"/>
              <w:autoSpaceDE w:val="0"/>
              <w:adjustRightInd w:val="0"/>
              <w:ind w:left="1560"/>
              <w:rPr>
                <w:rFonts w:ascii="Albertus Medium" w:eastAsia="Times New Roman" w:hAnsi="Albertus Medium"/>
                <w:kern w:val="0"/>
                <w:sz w:val="20"/>
                <w:szCs w:val="20"/>
              </w:rPr>
            </w:pPr>
            <w:r w:rsidRPr="00EF7122">
              <w:rPr>
                <w:rFonts w:ascii="Albertus Medium" w:eastAsia="Times New Roman" w:hAnsi="Albertus Medium"/>
                <w:kern w:val="0"/>
                <w:sz w:val="20"/>
                <w:szCs w:val="20"/>
              </w:rPr>
              <w:t>GROUPE EUROPE ECOLOGIE LES VERTS</w:t>
            </w:r>
          </w:p>
          <w:p w:rsidR="00BA6B1C" w:rsidRDefault="00BA6B1C" w:rsidP="00D37010">
            <w:pPr>
              <w:jc w:val="both"/>
              <w:rPr>
                <w:rFonts w:ascii="Albertus Medium" w:hAnsi="Albertus Medium"/>
              </w:rPr>
            </w:pPr>
          </w:p>
        </w:tc>
      </w:tr>
    </w:tbl>
    <w:p w:rsidR="00BA6B1C" w:rsidRDefault="00BA6B1C" w:rsidP="00BA6B1C">
      <w:pPr>
        <w:rPr>
          <w:rFonts w:ascii="Albertus Medium" w:hAnsi="Albertus Medium"/>
        </w:rPr>
      </w:pPr>
    </w:p>
    <w:tbl>
      <w:tblPr>
        <w:tblW w:w="9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51"/>
      </w:tblGrid>
      <w:tr w:rsidR="00BA6B1C" w:rsidTr="00466DD6">
        <w:trPr>
          <w:trHeight w:val="3003"/>
        </w:trPr>
        <w:tc>
          <w:tcPr>
            <w:tcW w:w="9851" w:type="dxa"/>
          </w:tcPr>
          <w:p w:rsidR="00BA6B1C" w:rsidRDefault="00BA6B1C" w:rsidP="00466DD6">
            <w:pPr>
              <w:rPr>
                <w:rFonts w:ascii="Albertus Medium" w:hAnsi="Albertus Medium"/>
              </w:rPr>
            </w:pPr>
            <w:r>
              <w:rPr>
                <w:rFonts w:ascii="Albertus Medium" w:hAnsi="Albertus Medium"/>
              </w:rPr>
              <w:t>EXPOSE SOMMAIRE DES MOTIFS :</w:t>
            </w:r>
          </w:p>
          <w:p w:rsidR="00BA6B1C" w:rsidRPr="00EF7122" w:rsidRDefault="00BA6B1C" w:rsidP="00466DD6">
            <w:pPr>
              <w:pStyle w:val="Standard"/>
              <w:jc w:val="both"/>
              <w:rPr>
                <w:sz w:val="20"/>
                <w:szCs w:val="20"/>
              </w:rPr>
            </w:pPr>
          </w:p>
          <w:p w:rsidR="00EF7122" w:rsidRPr="00EF7122" w:rsidRDefault="00EF7122" w:rsidP="00EF7122">
            <w:pPr>
              <w:jc w:val="both"/>
              <w:rPr>
                <w:rFonts w:ascii="Albertus Medium" w:hAnsi="Albertus Medium"/>
                <w:sz w:val="20"/>
                <w:szCs w:val="20"/>
              </w:rPr>
            </w:pPr>
            <w:r w:rsidRPr="00EF7122">
              <w:rPr>
                <w:rFonts w:ascii="Albertus Medium" w:hAnsi="Albertus Medium"/>
                <w:sz w:val="20"/>
                <w:szCs w:val="20"/>
              </w:rPr>
              <w:t xml:space="preserve">Les objectifs et les modalités de la politique territoriale menée par l’Agence régionale de santé sont sujets à caution. </w:t>
            </w:r>
          </w:p>
          <w:p w:rsidR="00EF7122" w:rsidRPr="00EF7122" w:rsidRDefault="00EF7122" w:rsidP="00EF7122">
            <w:pPr>
              <w:jc w:val="both"/>
              <w:rPr>
                <w:rFonts w:ascii="Albertus Medium" w:hAnsi="Albertus Medium"/>
                <w:sz w:val="20"/>
                <w:szCs w:val="20"/>
              </w:rPr>
            </w:pPr>
          </w:p>
          <w:p w:rsidR="00EF7122" w:rsidRPr="00EF7122" w:rsidRDefault="00EF7122" w:rsidP="00EF7122">
            <w:pPr>
              <w:jc w:val="both"/>
              <w:rPr>
                <w:rFonts w:ascii="Albertus Medium" w:hAnsi="Albertus Medium"/>
                <w:sz w:val="20"/>
                <w:szCs w:val="20"/>
              </w:rPr>
            </w:pPr>
            <w:r w:rsidRPr="00EF7122">
              <w:rPr>
                <w:rFonts w:ascii="Albertus Medium" w:hAnsi="Albertus Medium"/>
                <w:sz w:val="20"/>
                <w:szCs w:val="20"/>
              </w:rPr>
              <w:t>Les avants projets de schéma soumis par l’ARS, ainsi que la méthode de définition et les finalités du zonage de l’Auvergne ne répondent pas à notre vision du service public de la santé, un service public de proximité, garant de l’équité territoriale et de l’égal accès pour tous les citoyens à des soins de qualité. La vision trop comptable de l’ARS rend impossible l’atteinte de tels objectifs.</w:t>
            </w:r>
          </w:p>
          <w:p w:rsidR="00EF7122" w:rsidRPr="00EF7122" w:rsidRDefault="00EF7122" w:rsidP="00EF7122">
            <w:pPr>
              <w:jc w:val="both"/>
              <w:rPr>
                <w:rFonts w:ascii="Albertus Medium" w:hAnsi="Albertus Medium"/>
                <w:sz w:val="20"/>
                <w:szCs w:val="20"/>
              </w:rPr>
            </w:pPr>
          </w:p>
          <w:p w:rsidR="00EF7122" w:rsidRPr="00EF7122" w:rsidRDefault="00EF7122" w:rsidP="00EF7122">
            <w:pPr>
              <w:jc w:val="both"/>
              <w:rPr>
                <w:rFonts w:ascii="Albertus Medium" w:hAnsi="Albertus Medium"/>
                <w:sz w:val="20"/>
                <w:szCs w:val="20"/>
              </w:rPr>
            </w:pPr>
            <w:r w:rsidRPr="00EF7122">
              <w:rPr>
                <w:rFonts w:ascii="Albertus Medium" w:hAnsi="Albertus Medium"/>
                <w:sz w:val="20"/>
                <w:szCs w:val="20"/>
              </w:rPr>
              <w:t xml:space="preserve">Par ailleurs, les compétences et les moyens budgétaires de la Région étant limités en matière de santé, le soutien financier à des projets de télémédecine par le Conseil Régional ne peut relever que de l’expérimentation. </w:t>
            </w:r>
          </w:p>
          <w:p w:rsidR="00EF7122" w:rsidRPr="00EF7122" w:rsidRDefault="00EF7122" w:rsidP="00EF7122">
            <w:pPr>
              <w:jc w:val="both"/>
              <w:rPr>
                <w:rFonts w:ascii="Albertus Medium" w:hAnsi="Albertus Medium"/>
                <w:sz w:val="20"/>
                <w:szCs w:val="20"/>
              </w:rPr>
            </w:pPr>
          </w:p>
          <w:p w:rsidR="00EF7122" w:rsidRDefault="00EF7122" w:rsidP="00EF7122">
            <w:pPr>
              <w:pStyle w:val="Standard"/>
              <w:jc w:val="both"/>
              <w:rPr>
                <w:rFonts w:ascii="Albertus Medium" w:hAnsi="Albertus Medium"/>
                <w:sz w:val="20"/>
                <w:szCs w:val="20"/>
              </w:rPr>
            </w:pPr>
            <w:r w:rsidRPr="00EF7122">
              <w:rPr>
                <w:rFonts w:ascii="Albertus Medium" w:hAnsi="Albertus Medium"/>
                <w:sz w:val="20"/>
                <w:szCs w:val="20"/>
              </w:rPr>
              <w:t>Enfin, les questions de santé se trouvent liées aux problématiques de climat, d’air et d’énergie. La concentration de radon fait partie des déterminants de santé à prendre en compte dans une politique de prévention s’attachant aux milieux de vie, et particulièrement au lieu d’implantation d’un bâtiment. La qualité de l’air intérieur et plusieurs de ses déterminants (matériaux d’isolation, appareils de chauffage, peintures, produits d’entretien, de bricolage, …) sont aussi des éléments indispensables à prendre en considération dans la politique régionale de santé.</w:t>
            </w:r>
          </w:p>
          <w:p w:rsidR="00EF7122" w:rsidRDefault="00EF7122" w:rsidP="00EF7122">
            <w:pPr>
              <w:pStyle w:val="Standard"/>
              <w:jc w:val="both"/>
              <w:rPr>
                <w:rFonts w:ascii="Albertus Medium" w:hAnsi="Albertus Medium"/>
                <w:sz w:val="20"/>
                <w:szCs w:val="20"/>
              </w:rPr>
            </w:pPr>
          </w:p>
          <w:p w:rsidR="00EF7122" w:rsidRPr="00EF7122" w:rsidRDefault="00EF7122" w:rsidP="00EF7122">
            <w:pPr>
              <w:pStyle w:val="Standard"/>
              <w:jc w:val="both"/>
              <w:rPr>
                <w:rFonts w:ascii="Albertus Medium" w:hAnsi="Albertus Medium"/>
                <w:sz w:val="20"/>
                <w:szCs w:val="20"/>
              </w:rPr>
            </w:pPr>
            <w:r>
              <w:rPr>
                <w:rFonts w:ascii="Albertus Medium" w:hAnsi="Albertus Medium"/>
                <w:sz w:val="20"/>
                <w:szCs w:val="20"/>
              </w:rPr>
              <w:t xml:space="preserve">Aussi, l’avis de la Région, à défaut d’être défavorable, devrait se trouver </w:t>
            </w:r>
            <w:r w:rsidR="0092252F" w:rsidRPr="0092252F">
              <w:rPr>
                <w:rFonts w:ascii="Albertus Medium" w:hAnsi="Albertus Medium"/>
                <w:b/>
                <w:sz w:val="22"/>
                <w:szCs w:val="20"/>
              </w:rPr>
              <w:t>très</w:t>
            </w:r>
            <w:r w:rsidRPr="0092252F">
              <w:rPr>
                <w:rFonts w:ascii="Albertus Medium" w:hAnsi="Albertus Medium"/>
                <w:sz w:val="22"/>
                <w:szCs w:val="20"/>
              </w:rPr>
              <w:t xml:space="preserve"> </w:t>
            </w:r>
            <w:r>
              <w:rPr>
                <w:rFonts w:ascii="Albertus Medium" w:hAnsi="Albertus Medium"/>
                <w:sz w:val="20"/>
                <w:szCs w:val="20"/>
              </w:rPr>
              <w:t>réservé.</w:t>
            </w:r>
          </w:p>
          <w:p w:rsidR="004C5F89" w:rsidRDefault="004C5F89" w:rsidP="00466DD6">
            <w:pPr>
              <w:jc w:val="both"/>
              <w:rPr>
                <w:rFonts w:ascii="Albertus Medium" w:hAnsi="Albertus Medium"/>
              </w:rPr>
            </w:pPr>
          </w:p>
        </w:tc>
      </w:tr>
    </w:tbl>
    <w:p w:rsidR="00BA6B1C" w:rsidRDefault="00BA6B1C" w:rsidP="00BA6B1C">
      <w:pPr>
        <w:rPr>
          <w:rFonts w:ascii="Albertus Medium" w:hAnsi="Albertus Medium"/>
        </w:rPr>
      </w:pPr>
    </w:p>
    <w:p w:rsidR="00BA6B1C" w:rsidRDefault="00BA6B1C" w:rsidP="00BA6B1C">
      <w:pPr>
        <w:rPr>
          <w:rFonts w:ascii="Albertus Medium" w:hAnsi="Albertus Medium"/>
        </w:rPr>
      </w:pPr>
    </w:p>
    <w:tbl>
      <w:tblPr>
        <w:tblW w:w="9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51"/>
      </w:tblGrid>
      <w:tr w:rsidR="00BA6B1C" w:rsidTr="00466DD6">
        <w:tc>
          <w:tcPr>
            <w:tcW w:w="9851" w:type="dxa"/>
          </w:tcPr>
          <w:p w:rsidR="00BA6B1C" w:rsidRDefault="00BA6B1C" w:rsidP="00466DD6">
            <w:pPr>
              <w:rPr>
                <w:rFonts w:ascii="Albertus Medium" w:hAnsi="Albertus Medium"/>
              </w:rPr>
            </w:pPr>
            <w:r>
              <w:rPr>
                <w:rFonts w:ascii="Albertus Medium" w:hAnsi="Albertus Medium"/>
              </w:rPr>
              <w:t>TEXTE DE L’AMENDEMENT :</w:t>
            </w:r>
          </w:p>
          <w:p w:rsidR="00EF7122" w:rsidRPr="00EF7122" w:rsidRDefault="00EF7122" w:rsidP="00EF7122">
            <w:pPr>
              <w:pStyle w:val="Standard"/>
              <w:jc w:val="both"/>
              <w:rPr>
                <w:rFonts w:ascii="Albertus Medium" w:hAnsi="Albertus Medium"/>
              </w:rPr>
            </w:pPr>
          </w:p>
          <w:p w:rsidR="00EF7122" w:rsidRDefault="00EF7122" w:rsidP="00EF7122">
            <w:pPr>
              <w:pStyle w:val="Paragraphedeliste"/>
              <w:numPr>
                <w:ilvl w:val="0"/>
                <w:numId w:val="2"/>
              </w:numPr>
              <w:rPr>
                <w:rFonts w:ascii="Albertus Medium" w:hAnsi="Albertus Medium" w:cs="Arial"/>
                <w:sz w:val="20"/>
              </w:rPr>
            </w:pPr>
            <w:r w:rsidRPr="00EF7122">
              <w:rPr>
                <w:rFonts w:ascii="Albertus Medium" w:hAnsi="Albertus Medium" w:cs="Arial"/>
                <w:sz w:val="20"/>
              </w:rPr>
              <w:t xml:space="preserve">Dans le cartouche de fin de rapport, </w:t>
            </w:r>
          </w:p>
          <w:p w:rsidR="00EF7122" w:rsidRDefault="00EF7122" w:rsidP="00EF7122">
            <w:pPr>
              <w:pStyle w:val="Paragraphedeliste"/>
              <w:rPr>
                <w:rFonts w:ascii="Albertus Medium" w:hAnsi="Albertus Medium" w:cs="Arial"/>
                <w:sz w:val="20"/>
              </w:rPr>
            </w:pPr>
            <w:r>
              <w:rPr>
                <w:rFonts w:ascii="Albertus Medium" w:hAnsi="Albertus Medium" w:cs="Arial"/>
                <w:sz w:val="20"/>
              </w:rPr>
              <w:t>a</w:t>
            </w:r>
            <w:r w:rsidRPr="00EF7122">
              <w:rPr>
                <w:rFonts w:ascii="Albertus Medium" w:hAnsi="Albertus Medium" w:cs="Arial"/>
                <w:sz w:val="20"/>
              </w:rPr>
              <w:t xml:space="preserve">près </w:t>
            </w:r>
            <w:r w:rsidRPr="00EF7122">
              <w:rPr>
                <w:rFonts w:ascii="Albertus Medium" w:hAnsi="Albertus Medium" w:cs="Arial"/>
                <w:i/>
                <w:sz w:val="20"/>
              </w:rPr>
              <w:t>« pour ces différentes raisons, le Conseil régional formule un avis</w:t>
            </w:r>
            <w:r w:rsidRPr="00EF7122">
              <w:rPr>
                <w:rFonts w:ascii="Albertus Medium" w:hAnsi="Albertus Medium" w:cs="Arial"/>
                <w:sz w:val="20"/>
              </w:rPr>
              <w:t xml:space="preserve"> », </w:t>
            </w:r>
          </w:p>
          <w:p w:rsidR="00EF7122" w:rsidRPr="00EF7122" w:rsidRDefault="00EF7122" w:rsidP="00EF7122">
            <w:pPr>
              <w:pStyle w:val="Paragraphedeliste"/>
              <w:rPr>
                <w:rFonts w:ascii="Albertus Medium" w:hAnsi="Albertus Medium" w:cs="Arial"/>
                <w:sz w:val="20"/>
              </w:rPr>
            </w:pPr>
            <w:r w:rsidRPr="00EF7122">
              <w:rPr>
                <w:rFonts w:ascii="Albertus Medium" w:hAnsi="Albertus Medium" w:cs="Arial"/>
                <w:sz w:val="20"/>
              </w:rPr>
              <w:t xml:space="preserve">insérer : </w:t>
            </w:r>
            <w:r w:rsidRPr="00EF7122">
              <w:rPr>
                <w:rFonts w:ascii="Albertus Medium" w:hAnsi="Albertus Medium" w:cs="Arial"/>
                <w:i/>
                <w:sz w:val="20"/>
              </w:rPr>
              <w:t>« très ».</w:t>
            </w:r>
          </w:p>
          <w:p w:rsidR="00EF7122" w:rsidRPr="00EF7122" w:rsidRDefault="00EF7122" w:rsidP="00EF7122">
            <w:pPr>
              <w:rPr>
                <w:rFonts w:ascii="Albertus Medium" w:hAnsi="Albertus Medium" w:cs="Arial"/>
                <w:sz w:val="20"/>
              </w:rPr>
            </w:pPr>
          </w:p>
          <w:p w:rsidR="0092252F" w:rsidRDefault="00EF7122" w:rsidP="00EF7122">
            <w:pPr>
              <w:pStyle w:val="Paragraphedeliste"/>
              <w:numPr>
                <w:ilvl w:val="0"/>
                <w:numId w:val="2"/>
              </w:numPr>
              <w:rPr>
                <w:rFonts w:ascii="Albertus Medium" w:hAnsi="Albertus Medium" w:cs="Arial"/>
                <w:sz w:val="20"/>
              </w:rPr>
            </w:pPr>
            <w:r>
              <w:rPr>
                <w:rFonts w:ascii="Albertus Medium" w:hAnsi="Albertus Medium" w:cs="Arial"/>
                <w:sz w:val="20"/>
              </w:rPr>
              <w:t>Dans l’</w:t>
            </w:r>
            <w:r w:rsidRPr="00EF7122">
              <w:rPr>
                <w:rFonts w:ascii="Albertus Medium" w:hAnsi="Albertus Medium" w:cs="Arial"/>
                <w:sz w:val="20"/>
              </w:rPr>
              <w:t xml:space="preserve">Annexe, </w:t>
            </w:r>
            <w:r w:rsidR="0092252F">
              <w:rPr>
                <w:rFonts w:ascii="Albertus Medium" w:hAnsi="Albertus Medium" w:cs="Arial"/>
                <w:sz w:val="20"/>
              </w:rPr>
              <w:t xml:space="preserve">page 126, « 5. </w:t>
            </w:r>
            <w:r w:rsidRPr="00EF7122">
              <w:rPr>
                <w:rFonts w:ascii="Albertus Medium" w:hAnsi="Albertus Medium" w:cs="Arial"/>
                <w:i/>
                <w:sz w:val="20"/>
              </w:rPr>
              <w:t>Autres apports pour les trois schémas »</w:t>
            </w:r>
            <w:r w:rsidRPr="00EF7122">
              <w:rPr>
                <w:rFonts w:ascii="Albertus Medium" w:hAnsi="Albertus Medium" w:cs="Arial"/>
                <w:sz w:val="20"/>
              </w:rPr>
              <w:t xml:space="preserve">, </w:t>
            </w:r>
          </w:p>
          <w:p w:rsidR="00EF7122" w:rsidRPr="0092252F" w:rsidRDefault="0092252F" w:rsidP="0092252F">
            <w:pPr>
              <w:pStyle w:val="Paragraphedeliste"/>
              <w:rPr>
                <w:rFonts w:ascii="Albertus Medium" w:hAnsi="Albertus Medium" w:cs="Arial"/>
                <w:i/>
                <w:sz w:val="20"/>
              </w:rPr>
            </w:pPr>
            <w:r>
              <w:rPr>
                <w:rFonts w:ascii="Albertus Medium" w:hAnsi="Albertus Medium" w:cs="Arial"/>
                <w:sz w:val="20"/>
              </w:rPr>
              <w:t>Dans le deuxième paragraphe du troisième point</w:t>
            </w:r>
            <w:r w:rsidRPr="0092252F">
              <w:rPr>
                <w:rFonts w:ascii="Albertus Medium" w:hAnsi="Albertus Medium" w:cs="Arial"/>
                <w:sz w:val="20"/>
              </w:rPr>
              <w:t>, r</w:t>
            </w:r>
            <w:r w:rsidR="00EF7122" w:rsidRPr="0092252F">
              <w:rPr>
                <w:rFonts w:ascii="Albertus Medium" w:hAnsi="Albertus Medium" w:cs="Arial"/>
                <w:sz w:val="20"/>
              </w:rPr>
              <w:t xml:space="preserve">emplacer la phrase </w:t>
            </w:r>
            <w:r w:rsidR="00EF7122" w:rsidRPr="0092252F">
              <w:rPr>
                <w:rFonts w:ascii="Albertus Medium" w:hAnsi="Albertus Medium" w:cs="Arial"/>
                <w:i/>
                <w:sz w:val="20"/>
              </w:rPr>
              <w:t>« Par exemple, le lieu d’implantation d’un bâtiment et l’isolation des sols doivent être mieux choisis en fonction de la concentration de radon »</w:t>
            </w:r>
          </w:p>
          <w:p w:rsidR="00EF7122" w:rsidRPr="00EF7122" w:rsidRDefault="00EF7122" w:rsidP="00EF7122">
            <w:pPr>
              <w:pStyle w:val="Paragraphedeliste"/>
              <w:rPr>
                <w:rFonts w:ascii="Albertus Medium" w:hAnsi="Albertus Medium" w:cs="Arial"/>
                <w:i/>
                <w:sz w:val="20"/>
              </w:rPr>
            </w:pPr>
            <w:r w:rsidRPr="00EF7122">
              <w:rPr>
                <w:rFonts w:ascii="Albertus Medium" w:hAnsi="Albertus Medium" w:cs="Arial"/>
                <w:i/>
                <w:sz w:val="20"/>
              </w:rPr>
              <w:t>Par</w:t>
            </w:r>
            <w:r w:rsidRPr="00EF7122">
              <w:rPr>
                <w:rFonts w:ascii="Albertus Medium" w:hAnsi="Albertus Medium" w:cs="Arial"/>
                <w:sz w:val="20"/>
              </w:rPr>
              <w:t xml:space="preserve"> la phrase: </w:t>
            </w:r>
            <w:r w:rsidRPr="00EF7122">
              <w:rPr>
                <w:rFonts w:ascii="Albertus Medium" w:hAnsi="Albertus Medium" w:cs="Arial"/>
                <w:i/>
                <w:sz w:val="20"/>
              </w:rPr>
              <w:t>« Par exemple, le lieu d’implantation et l’occupation d’un bâtiment doivent être mieux choisis, en fonction notamment de la concentration de radon et de la qualité de l’air intérieur. »</w:t>
            </w:r>
          </w:p>
          <w:p w:rsidR="00BA6B1C" w:rsidRDefault="00BA6B1C" w:rsidP="00BA6B1C">
            <w:pPr>
              <w:ind w:left="720"/>
              <w:jc w:val="both"/>
              <w:rPr>
                <w:rFonts w:ascii="Albertus Medium" w:hAnsi="Albertus Medium"/>
              </w:rPr>
            </w:pPr>
          </w:p>
        </w:tc>
      </w:tr>
    </w:tbl>
    <w:p w:rsidR="00140D00" w:rsidRDefault="004823AA"/>
    <w:sectPr w:rsidR="00140D00" w:rsidSect="00EF7122">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F709C"/>
    <w:multiLevelType w:val="hybridMultilevel"/>
    <w:tmpl w:val="7EAC2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6B63101"/>
    <w:multiLevelType w:val="hybridMultilevel"/>
    <w:tmpl w:val="334A2766"/>
    <w:lvl w:ilvl="0" w:tplc="E112F3B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B1C"/>
    <w:rsid w:val="00096DBA"/>
    <w:rsid w:val="000A3C82"/>
    <w:rsid w:val="000C0998"/>
    <w:rsid w:val="00107739"/>
    <w:rsid w:val="00242D00"/>
    <w:rsid w:val="002945C4"/>
    <w:rsid w:val="002A1134"/>
    <w:rsid w:val="003A0774"/>
    <w:rsid w:val="004823AA"/>
    <w:rsid w:val="00495370"/>
    <w:rsid w:val="004C26E2"/>
    <w:rsid w:val="004C5F89"/>
    <w:rsid w:val="00552F6F"/>
    <w:rsid w:val="006E09B1"/>
    <w:rsid w:val="00861AE9"/>
    <w:rsid w:val="0092252F"/>
    <w:rsid w:val="00987CB2"/>
    <w:rsid w:val="00B464DB"/>
    <w:rsid w:val="00BA6B1C"/>
    <w:rsid w:val="00D37010"/>
    <w:rsid w:val="00EF71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itre 2 - Point"/>
    <w:qFormat/>
    <w:rsid w:val="00BA6B1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A6B1C"/>
    <w:pPr>
      <w:widowControl w:val="0"/>
      <w:suppressAutoHyphens/>
      <w:autoSpaceDN w:val="0"/>
      <w:spacing w:after="0" w:line="240" w:lineRule="auto"/>
      <w:textAlignment w:val="baseline"/>
    </w:pPr>
    <w:rPr>
      <w:rFonts w:ascii="Times New Roman" w:eastAsia="Arial Unicode MS" w:hAnsi="Times New Roman" w:cs="Times New Roman"/>
      <w:kern w:val="3"/>
      <w:sz w:val="24"/>
      <w:szCs w:val="24"/>
      <w:lang w:eastAsia="fr-FR"/>
    </w:rPr>
  </w:style>
  <w:style w:type="paragraph" w:styleId="Textedebulles">
    <w:name w:val="Balloon Text"/>
    <w:basedOn w:val="Normal"/>
    <w:link w:val="TextedebullesCar"/>
    <w:uiPriority w:val="99"/>
    <w:semiHidden/>
    <w:unhideWhenUsed/>
    <w:rsid w:val="00BA6B1C"/>
    <w:rPr>
      <w:rFonts w:ascii="Tahoma" w:hAnsi="Tahoma" w:cs="Tahoma"/>
      <w:sz w:val="16"/>
      <w:szCs w:val="16"/>
    </w:rPr>
  </w:style>
  <w:style w:type="character" w:customStyle="1" w:styleId="TextedebullesCar">
    <w:name w:val="Texte de bulles Car"/>
    <w:basedOn w:val="Policepardfaut"/>
    <w:link w:val="Textedebulles"/>
    <w:uiPriority w:val="99"/>
    <w:semiHidden/>
    <w:rsid w:val="00BA6B1C"/>
    <w:rPr>
      <w:rFonts w:ascii="Tahoma" w:eastAsia="Times New Roman" w:hAnsi="Tahoma" w:cs="Tahoma"/>
      <w:sz w:val="16"/>
      <w:szCs w:val="16"/>
      <w:lang w:eastAsia="fr-FR"/>
    </w:rPr>
  </w:style>
  <w:style w:type="paragraph" w:styleId="Paragraphedeliste">
    <w:name w:val="List Paragraph"/>
    <w:basedOn w:val="Normal"/>
    <w:uiPriority w:val="34"/>
    <w:qFormat/>
    <w:rsid w:val="004C5F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itre 2 - Point"/>
    <w:qFormat/>
    <w:rsid w:val="00BA6B1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A6B1C"/>
    <w:pPr>
      <w:widowControl w:val="0"/>
      <w:suppressAutoHyphens/>
      <w:autoSpaceDN w:val="0"/>
      <w:spacing w:after="0" w:line="240" w:lineRule="auto"/>
      <w:textAlignment w:val="baseline"/>
    </w:pPr>
    <w:rPr>
      <w:rFonts w:ascii="Times New Roman" w:eastAsia="Arial Unicode MS" w:hAnsi="Times New Roman" w:cs="Times New Roman"/>
      <w:kern w:val="3"/>
      <w:sz w:val="24"/>
      <w:szCs w:val="24"/>
      <w:lang w:eastAsia="fr-FR"/>
    </w:rPr>
  </w:style>
  <w:style w:type="paragraph" w:styleId="Textedebulles">
    <w:name w:val="Balloon Text"/>
    <w:basedOn w:val="Normal"/>
    <w:link w:val="TextedebullesCar"/>
    <w:uiPriority w:val="99"/>
    <w:semiHidden/>
    <w:unhideWhenUsed/>
    <w:rsid w:val="00BA6B1C"/>
    <w:rPr>
      <w:rFonts w:ascii="Tahoma" w:hAnsi="Tahoma" w:cs="Tahoma"/>
      <w:sz w:val="16"/>
      <w:szCs w:val="16"/>
    </w:rPr>
  </w:style>
  <w:style w:type="character" w:customStyle="1" w:styleId="TextedebullesCar">
    <w:name w:val="Texte de bulles Car"/>
    <w:basedOn w:val="Policepardfaut"/>
    <w:link w:val="Textedebulles"/>
    <w:uiPriority w:val="99"/>
    <w:semiHidden/>
    <w:rsid w:val="00BA6B1C"/>
    <w:rPr>
      <w:rFonts w:ascii="Tahoma" w:eastAsia="Times New Roman" w:hAnsi="Tahoma" w:cs="Tahoma"/>
      <w:sz w:val="16"/>
      <w:szCs w:val="16"/>
      <w:lang w:eastAsia="fr-FR"/>
    </w:rPr>
  </w:style>
  <w:style w:type="paragraph" w:styleId="Paragraphedeliste">
    <w:name w:val="List Paragraph"/>
    <w:basedOn w:val="Normal"/>
    <w:uiPriority w:val="34"/>
    <w:qFormat/>
    <w:rsid w:val="004C5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1975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CRA</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CRA</cp:lastModifiedBy>
  <cp:revision>2</cp:revision>
  <dcterms:created xsi:type="dcterms:W3CDTF">2012-03-09T10:26:00Z</dcterms:created>
  <dcterms:modified xsi:type="dcterms:W3CDTF">2012-03-09T10:26:00Z</dcterms:modified>
</cp:coreProperties>
</file>